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E91D" w14:textId="3BB4C5B1" w:rsidR="00A072F5" w:rsidRDefault="00586E6F" w:rsidP="00586E6F">
      <w:pPr>
        <w:tabs>
          <w:tab w:val="left" w:pos="284"/>
        </w:tabs>
        <w:jc w:val="center"/>
      </w:pPr>
      <w:r>
        <w:rPr>
          <w:noProof/>
          <w:lang w:eastAsia="es-AR"/>
        </w:rPr>
        <w:drawing>
          <wp:inline distT="0" distB="0" distL="0" distR="0" wp14:anchorId="617F9595" wp14:editId="47556E95">
            <wp:extent cx="6067425" cy="13483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12" cy="135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72F5" w:rsidRPr="00A815E2" w14:paraId="79D2A109" w14:textId="77777777" w:rsidTr="00376297">
        <w:tc>
          <w:tcPr>
            <w:tcW w:w="10206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4E4129" w14:textId="77777777" w:rsidR="00376297" w:rsidRDefault="00376297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</w:p>
          <w:p w14:paraId="7615B54F" w14:textId="1A6E025A" w:rsidR="00376297" w:rsidRDefault="00161AED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  <w:t>SYNAPTIK</w:t>
            </w:r>
          </w:p>
          <w:p w14:paraId="332B8950" w14:textId="613980F9" w:rsidR="00A072F5" w:rsidRDefault="00A815E2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  <w:r w:rsidRPr="00A815E2"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  <w:t>PRESENTE EN ENVASE ALIMENTEK 2022</w:t>
            </w:r>
          </w:p>
          <w:p w14:paraId="2AB74551" w14:textId="77777777" w:rsidR="00376297" w:rsidRDefault="00376297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</w:p>
          <w:p w14:paraId="290B337E" w14:textId="2517F546" w:rsidR="00376297" w:rsidRDefault="00376297" w:rsidP="00376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35CD74" w14:textId="77777777" w:rsidR="00161AED" w:rsidRDefault="00161AED" w:rsidP="00161AE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Synaptik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participará en la presente edición de la feria Expo Envase 2022 que tendrá lugar del 26 al 29 de abril en Buenos Aires, Argentina, presentando el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gScan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el sistema líder de medición del gramaje del adhesivo en línea.</w:t>
            </w:r>
          </w:p>
          <w:p w14:paraId="7617C516" w14:textId="77777777" w:rsidR="00161AED" w:rsidRDefault="00161AED" w:rsidP="00161AE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El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gScan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es la única solución del mercado diseñada exclusivamente para el proceso de laminación del empaque flexible el cual permite controlar la aplicación y calidad de los adhesivos de base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poliuretánica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base solvente y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solventless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permitiendo además la detección de posibles fallos en la mezcla de los componentes de los adhesivos.</w:t>
            </w:r>
          </w:p>
          <w:p w14:paraId="08F0D70E" w14:textId="095CF471" w:rsidR="00161AED" w:rsidRDefault="00161AED" w:rsidP="00161AE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Para más información nos encontrarán en el stand de nuestro representante local en Argentina JM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Muntadas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Machinery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&amp; Trading (nº 331, pabellón 3).</w:t>
            </w:r>
          </w:p>
          <w:p w14:paraId="4E1A39F0" w14:textId="5F2D9071" w:rsidR="00161AED" w:rsidRDefault="00161AED" w:rsidP="00161AE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720B1A3C" w14:textId="53DA5B98" w:rsidR="00161AED" w:rsidRDefault="00161AED" w:rsidP="00161AED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61AED">
              <w:rPr>
                <w:rFonts w:ascii="Segoe UI" w:hAnsi="Segoe UI" w:cs="Segoe UI"/>
                <w:noProof/>
                <w:sz w:val="21"/>
                <w:szCs w:val="21"/>
                <w:shd w:val="clear" w:color="auto" w:fill="FFFFFF"/>
                <w:lang w:eastAsia="es-AR"/>
              </w:rPr>
              <w:drawing>
                <wp:inline distT="0" distB="0" distL="0" distR="0" wp14:anchorId="2B207BB4" wp14:editId="11BF96D0">
                  <wp:extent cx="3162300" cy="2371725"/>
                  <wp:effectExtent l="0" t="0" r="0" b="9525"/>
                  <wp:docPr id="1" name="Imagen 1" descr="C:\Users\Estela\AppData\Local\Microsoft\Windows\INetCache\Content.Outlook\S4Z4C97A\PR Synaptik - Envase 2022 Argen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ela\AppData\Local\Microsoft\Windows\INetCache\Content.Outlook\S4Z4C97A\PR Synaptik - Envase 2022 Argen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645" cy="237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161AED">
              <w:rPr>
                <w:rFonts w:ascii="Segoe UI" w:hAnsi="Segoe UI" w:cs="Segoe UI"/>
                <w:noProof/>
                <w:sz w:val="21"/>
                <w:szCs w:val="21"/>
                <w:shd w:val="clear" w:color="auto" w:fill="FFFFFF"/>
                <w:lang w:eastAsia="es-AR"/>
              </w:rPr>
              <w:drawing>
                <wp:inline distT="0" distB="0" distL="0" distR="0" wp14:anchorId="1428B83D" wp14:editId="616614F5">
                  <wp:extent cx="2838450" cy="993458"/>
                  <wp:effectExtent l="0" t="0" r="0" b="0"/>
                  <wp:docPr id="5" name="Imagen 5" descr="C:\Users\Estela\AppData\Local\Microsoft\Windows\INetCache\Content.Outlook\S4Z4C97A\logo synaptik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tela\AppData\Local\Microsoft\Windows\INetCache\Content.Outlook\S4Z4C97A\logo synaptik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99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34FA0" w14:textId="764079E7" w:rsidR="009A1FE1" w:rsidRPr="00A815E2" w:rsidRDefault="009A1FE1" w:rsidP="009A1FE1">
            <w:pPr>
              <w:rPr>
                <w:rFonts w:ascii="Arial" w:eastAsia="Times New Roman" w:hAnsi="Arial" w:cs="Arial"/>
                <w:color w:val="0E095C"/>
                <w:lang w:eastAsia="es-AR"/>
              </w:rPr>
            </w:pPr>
            <w:bookmarkStart w:id="0" w:name="_GoBack"/>
            <w:bookmarkEnd w:id="0"/>
          </w:p>
        </w:tc>
      </w:tr>
    </w:tbl>
    <w:p w14:paraId="2078D666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6ED7AAB9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4C9AA4B3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14BF9DEC" w14:textId="77777777" w:rsidR="00A072F5" w:rsidRPr="00A072F5" w:rsidRDefault="00A072F5" w:rsidP="00A072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sectPr w:rsidR="00A072F5" w:rsidRPr="00A072F5" w:rsidSect="00586E6F">
      <w:pgSz w:w="12240" w:h="15840"/>
      <w:pgMar w:top="993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7E67"/>
    <w:multiLevelType w:val="hybridMultilevel"/>
    <w:tmpl w:val="2618C8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CD"/>
    <w:rsid w:val="00130052"/>
    <w:rsid w:val="00161AED"/>
    <w:rsid w:val="00175EA8"/>
    <w:rsid w:val="00196157"/>
    <w:rsid w:val="002246E9"/>
    <w:rsid w:val="00270AAC"/>
    <w:rsid w:val="002B692A"/>
    <w:rsid w:val="0035431A"/>
    <w:rsid w:val="00376297"/>
    <w:rsid w:val="005168F5"/>
    <w:rsid w:val="00586E6F"/>
    <w:rsid w:val="005F00D3"/>
    <w:rsid w:val="007E6A13"/>
    <w:rsid w:val="0080185A"/>
    <w:rsid w:val="00935FE2"/>
    <w:rsid w:val="009A1FE1"/>
    <w:rsid w:val="00A072F5"/>
    <w:rsid w:val="00A815E2"/>
    <w:rsid w:val="00AE1D2F"/>
    <w:rsid w:val="00DC0D26"/>
    <w:rsid w:val="00E3190C"/>
    <w:rsid w:val="00E942CD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84A"/>
  <w15:docId w15:val="{4AC6542A-BB24-4110-B979-1D97D9D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42C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942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72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815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A815E2"/>
  </w:style>
  <w:style w:type="character" w:customStyle="1" w:styleId="eop">
    <w:name w:val="eop"/>
    <w:basedOn w:val="Fuentedeprrafopredeter"/>
    <w:rsid w:val="00A815E2"/>
  </w:style>
  <w:style w:type="character" w:customStyle="1" w:styleId="scxw95871198">
    <w:name w:val="scxw95871198"/>
    <w:basedOn w:val="Fuentedeprrafopredeter"/>
    <w:rsid w:val="00A815E2"/>
  </w:style>
  <w:style w:type="paragraph" w:styleId="Prrafodelista">
    <w:name w:val="List Paragraph"/>
    <w:basedOn w:val="Normal"/>
    <w:uiPriority w:val="34"/>
    <w:qFormat/>
    <w:rsid w:val="00AE1D2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 Koen</dc:creator>
  <cp:keywords/>
  <dc:description/>
  <cp:lastModifiedBy>Estela</cp:lastModifiedBy>
  <cp:revision>2</cp:revision>
  <dcterms:created xsi:type="dcterms:W3CDTF">2022-04-22T15:35:00Z</dcterms:created>
  <dcterms:modified xsi:type="dcterms:W3CDTF">2022-04-22T15:35:00Z</dcterms:modified>
</cp:coreProperties>
</file>